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2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ANEXO 12 - DECLARAÇÃO DA NÃO OCORRÊNCIA DE IMPEDIMENTOS</w:t>
      </w:r>
    </w:p>
    <w:p>
      <w:pPr>
        <w:spacing w:after="120"/>
        <w:jc w:val="both"/>
        <w:rPr>
          <w:rFonts w:ascii="Arial" w:hAnsi="Arial" w:cs="Arial"/>
          <w:sz w:val="18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[NOME DA OSC] declara, para os devidos fins, que a entidade e seus dirigentes não incorrem em quaisquer das vedações previstas no art. 39 da Lei nº 13.019, de 2014, e no art. 20 do Decreto Estadual nº 3.513, de 2016. Nesse sentido, esta entidade:</w:t>
      </w:r>
    </w:p>
    <w:p>
      <w:pP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1.</w:t>
      </w:r>
      <w:r>
        <w:rPr>
          <w:rFonts w:ascii="Arial" w:hAnsi="Arial" w:cs="Arial"/>
          <w:szCs w:val="24"/>
        </w:rPr>
        <w:t xml:space="preserve"> Está regularmente constituída;</w:t>
      </w:r>
    </w:p>
    <w:p>
      <w:pP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2.</w:t>
      </w:r>
      <w:r>
        <w:rPr>
          <w:rFonts w:ascii="Arial" w:hAnsi="Arial" w:cs="Arial"/>
          <w:szCs w:val="24"/>
        </w:rPr>
        <w:t xml:space="preserve"> Não foi omissa ou se encontra em mora, débito ou atraso no dever de prestar contas de parceria anteriormente celebrada junto a qualquer órgão ou entidade da Administração Pública direta ou indireta, federal, estadual ou municipal;</w:t>
      </w:r>
    </w:p>
    <w:p>
      <w:pP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3.</w:t>
      </w:r>
      <w:r>
        <w:rPr>
          <w:rFonts w:ascii="Arial" w:hAnsi="Arial" w:cs="Arial"/>
          <w:szCs w:val="24"/>
        </w:rPr>
        <w:t xml:space="preserve"> Não tem como dirigente membro de Poder ou do Ministério Público ou dirigente de órgão ou entidade da administração pública estadual, estendendo-se a vedação aos respectivos cônjuges ou companheiros e aos parentes em linha reta, colateral ou por afinidade, até o segundo grau;</w:t>
      </w:r>
    </w:p>
    <w:p>
      <w:pP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szCs w:val="24"/>
        </w:rPr>
        <w:t xml:space="preserve"> Não teve as contas rejeitadas pela administração pública nos últimos cinco anos, observadas as exceções previstas no art. 39, </w:t>
      </w:r>
      <w:r>
        <w:rPr>
          <w:rFonts w:ascii="Arial" w:hAnsi="Arial" w:cs="Arial"/>
          <w:i/>
          <w:iCs/>
          <w:szCs w:val="24"/>
        </w:rPr>
        <w:t>caput</w:t>
      </w:r>
      <w:r>
        <w:rPr>
          <w:rFonts w:ascii="Arial" w:hAnsi="Arial" w:cs="Arial"/>
          <w:szCs w:val="24"/>
        </w:rPr>
        <w:t xml:space="preserve">, inciso IV, alíneas “a” </w:t>
      </w:r>
      <w:r>
        <w:rPr>
          <w:rFonts w:ascii="Arial" w:hAnsi="Arial" w:cs="Arial"/>
          <w:i/>
          <w:iCs/>
          <w:szCs w:val="24"/>
        </w:rPr>
        <w:t>(a irregularidade que motivou a rejeição foi sanada, com quitação dos débitos eventualmente imputados)</w:t>
      </w:r>
      <w:r>
        <w:rPr>
          <w:rFonts w:ascii="Arial" w:hAnsi="Arial" w:cs="Arial"/>
          <w:szCs w:val="24"/>
        </w:rPr>
        <w:t xml:space="preserve"> e “”c” </w:t>
      </w:r>
      <w:r>
        <w:rPr>
          <w:rFonts w:ascii="Arial" w:hAnsi="Arial" w:cs="Arial"/>
          <w:i/>
          <w:iCs/>
          <w:szCs w:val="24"/>
        </w:rPr>
        <w:t>(a apreciação das contas está pendente de decisão sobre recurso com efeito suspensivo)</w:t>
      </w:r>
      <w:r>
        <w:rPr>
          <w:rFonts w:ascii="Arial" w:hAnsi="Arial" w:cs="Arial"/>
          <w:szCs w:val="24"/>
        </w:rPr>
        <w:t xml:space="preserve"> da Lei nº 13.019, de 2014; </w:t>
      </w:r>
    </w:p>
    <w:p>
      <w:pP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5.</w:t>
      </w:r>
      <w:r>
        <w:rPr>
          <w:rFonts w:ascii="Arial" w:hAnsi="Arial" w:cs="Arial"/>
          <w:szCs w:val="24"/>
        </w:rPr>
        <w:t xml:space="preserve"> 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>
      <w:pP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6.</w:t>
      </w:r>
      <w:r>
        <w:rPr>
          <w:rFonts w:ascii="Arial" w:hAnsi="Arial" w:cs="Arial"/>
          <w:szCs w:val="24"/>
        </w:rPr>
        <w:t xml:space="preserve"> Não teve contas de parceria julgadas irregulares ou rejeitadas por Tribunal ou Conselho de Contas de qualquer esfera da Federação, em decisão irrecorrível, nos últimos 8 (oito) anos; </w:t>
      </w:r>
    </w:p>
    <w:p>
      <w:pP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7.</w:t>
      </w:r>
      <w:r>
        <w:rPr>
          <w:rFonts w:ascii="Arial" w:hAnsi="Arial" w:cs="Arial"/>
          <w:szCs w:val="24"/>
        </w:rPr>
        <w:t xml:space="preserve"> Não tem entre seus dirigentes pessoa:</w:t>
      </w:r>
    </w:p>
    <w:p>
      <w:pP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cujas contas relativas a parcerias tenham sido julgadas irregulares ou rejeitadas por Tribunal ou Conselho de Contas de qualquer esfera da Federação, em decisão irrecorrível, nos últimos 8 (oito) anos; </w:t>
      </w:r>
    </w:p>
    <w:p>
      <w:pP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julgada responsável por falta grave e inabilitada para o exercício de cargo em comissão ou função de confiança, enquanto durar a inabilitação; ou </w:t>
      </w:r>
    </w:p>
    <w:p>
      <w:pP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 considerada responsável por ato de improbidade, enquanto durarem os prazos estabelecidos nos incisos I, II e III do art. 12 da Lei nº 8.429, de 1992.</w:t>
      </w:r>
    </w:p>
    <w:p>
      <w:pP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8.</w:t>
      </w:r>
      <w:r>
        <w:rPr>
          <w:rFonts w:ascii="Arial" w:hAnsi="Arial" w:cs="Arial"/>
          <w:szCs w:val="24"/>
        </w:rPr>
        <w:t xml:space="preserve"> Não celebrou </w:t>
      </w:r>
      <w:bookmarkStart w:id="0" w:name="_GoBack"/>
      <w:bookmarkEnd w:id="0"/>
      <w:r>
        <w:rPr>
          <w:rFonts w:ascii="Arial" w:hAnsi="Arial" w:cs="Arial"/>
          <w:szCs w:val="24"/>
        </w:rPr>
        <w:t>Termo de Fomento ou Termo de Colaboração com a Administração Pública de qualquer esfera de Governo, que em análise comparativa de seus objetivos, atividades e recursos conclua na existência de sobreposição de objetos, ou seja, de duplicação ou redundância no(s) produto(s)/resultado(s) entre a(s) parceria(s) passada(s) ou em execução com o(s) produto(s) objetivado(s) na implementação do Projeto de Negócio com o qual participará do Edital de Chamamento Público nº 1/2023, e, portanto, não incursa na proibição prevista no § 2º do art. 42 do Dec. Est. nº 3.513, de 2016.</w:t>
      </w:r>
    </w:p>
    <w:p>
      <w:pPr>
        <w:spacing w:after="120"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[LOCAL], [DATA].</w:t>
      </w:r>
    </w:p>
    <w:p>
      <w:pPr>
        <w:spacing w:after="120"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</w:t>
      </w:r>
    </w:p>
    <w:p>
      <w:pPr>
        <w:spacing w:after="120"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[NOME E CARGO DO REPRESENTANTE LEGAL DA OSC]</w:t>
      </w:r>
    </w:p>
    <w:sectPr>
      <w:pgSz w:w="11906" w:h="16838"/>
      <w:pgMar w:top="1276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2BAD9-B5B7-4064-9352-0F3ED25C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W Reichenbach</dc:creator>
  <cp:keywords/>
  <dc:description/>
  <cp:lastModifiedBy>Jefferson Vinicius Meister</cp:lastModifiedBy>
  <cp:revision>4</cp:revision>
  <cp:lastPrinted>2023-08-04T11:48:00Z</cp:lastPrinted>
  <dcterms:created xsi:type="dcterms:W3CDTF">2023-08-02T18:38:00Z</dcterms:created>
  <dcterms:modified xsi:type="dcterms:W3CDTF">2023-08-04T18:21:00Z</dcterms:modified>
</cp:coreProperties>
</file>