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ANEXO 21 – RESOLUÇÃO SEAB Nº 103/2016 QUE INSTITUIU O GRUPO TÉCNICO DE APOIO E AVALIAÇÃO (GTAA)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/>
        <w:drawing>
          <wp:inline distT="0" distB="0" distL="0" distR="0">
            <wp:extent cx="5876290" cy="75247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/>
        <w:drawing>
          <wp:inline distT="0" distB="0" distL="0" distR="0">
            <wp:extent cx="6120130" cy="7774940"/>
            <wp:effectExtent l="0" t="0" r="0" b="0"/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/>
        <w:drawing>
          <wp:inline distT="0" distB="9525" distL="0" distR="0">
            <wp:extent cx="6120130" cy="7705725"/>
            <wp:effectExtent l="0" t="0" r="0" b="0"/>
            <wp:docPr id="3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992" w:header="0" w:top="1134" w:footer="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69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</Pages>
  <Words>16</Words>
  <Characters>79</Characters>
  <CharactersWithSpaces>95</CharactersWithSpaces>
  <Paragraphs>4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2017-03-16T19:01:00Z</dcterms:created>
  <dc:creator>Jefferson Vinicius Meister</dc:creator>
  <dc:description/>
  <dc:language>pt-BR</dc:language>
  <cp:lastModifiedBy>Jefferson Vinicius Meister</cp:lastModifiedBy>
  <dcterms:modified xsi:type="dcterms:W3CDTF">2017-03-16T19:01:00Z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