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8 – FORMULÁRIO DE ANÁLISE ECONÔMICA E FINANCEIRA DA OSC (RENTABILIDADE, LIQUIDEZ, ENDIVIDAMENTO, TESOURARIA)</w:t>
      </w:r>
    </w:p>
    <w:p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Nota orientativa: a análise econômica e financeira da OSC é realizada por meio de indicadores, que devem ser calculados com base nas informações das suas demonstrações contábeis, para cada um dos 3 últimos exercícios sociais.</w:t>
      </w:r>
    </w:p>
    <w:p>
      <w:pPr>
        <w:pStyle w:val="PargrafodaLista"/>
        <w:numPr>
          <w:ilvl w:val="0"/>
          <w:numId w:val="1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INDICADORES ECONÔMICOS/FINANCEIROS DE RENTABILIDADE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30"/>
        <w:gridCol w:w="1322"/>
        <w:gridCol w:w="1322"/>
        <w:gridCol w:w="1320"/>
      </w:tblGrid>
      <w:tr>
        <w:trPr>
          <w:trHeight w:val="692"/>
        </w:trPr>
        <w:tc>
          <w:tcPr>
            <w:tcW w:w="2667" w:type="pct"/>
            <w:shd w:val="clear" w:color="auto" w:fill="BFBFBF" w:themeFill="background1" w:themeFillShade="BF"/>
            <w:vAlign w:val="center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78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778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778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 Margem Bruta (%)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 Despesa/Dispêndio Operacional (%)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Margem Operacional (%)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 Margem Líquida (%)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</w:tbl>
    <w:p>
      <w:pPr>
        <w:pStyle w:val="PargrafodaLista"/>
        <w:spacing w:before="240"/>
        <w:ind w:left="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Margem Bruta (MB)</w:t>
      </w:r>
    </w:p>
    <w:p>
      <w:pPr>
        <w:spacing w:before="240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MB=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Resultado Bruto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Ingressos, Receitas Totais</m:t>
              </m:r>
            </m:den>
          </m:f>
          <m:r>
            <w:rPr>
              <w:rFonts w:ascii="Cambria Math" w:hAnsi="Cambria Math" w:cs="Arial"/>
              <w:bdr w:val="single" w:sz="4" w:space="0" w:color="auto"/>
            </w:rPr>
            <m:t xml:space="preserve"> ×100</m:t>
          </m:r>
        </m:oMath>
      </m:oMathPara>
    </w:p>
    <w:p>
      <w:pPr>
        <w:spacing w:before="24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Despesa/Dispêndio Operacional (DO)</w:t>
      </w:r>
    </w:p>
    <w:p>
      <w:pPr>
        <w:spacing w:before="240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DO=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Despesas,Dispêndios Operacionais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Ingressos, Receitas Totais</m:t>
              </m:r>
            </m:den>
          </m:f>
          <m:r>
            <w:rPr>
              <w:rFonts w:ascii="Cambria Math" w:hAnsi="Cambria Math" w:cs="Arial"/>
              <w:bdr w:val="single" w:sz="4" w:space="0" w:color="auto"/>
            </w:rPr>
            <m:t xml:space="preserve"> ×100</m:t>
          </m:r>
        </m:oMath>
      </m:oMathPara>
    </w:p>
    <w:p>
      <w:pPr>
        <w:spacing w:before="24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Margem Operacional (MO)</w:t>
      </w:r>
    </w:p>
    <w:p>
      <w:pPr>
        <w:spacing w:before="240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MO=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Resultado Operacional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Ingressos, Receitas Totais</m:t>
              </m:r>
            </m:den>
          </m:f>
          <m:r>
            <w:rPr>
              <w:rFonts w:ascii="Cambria Math" w:hAnsi="Cambria Math" w:cs="Arial"/>
              <w:bdr w:val="single" w:sz="4" w:space="0" w:color="auto"/>
            </w:rPr>
            <m:t xml:space="preserve"> ×100</m:t>
          </m:r>
        </m:oMath>
      </m:oMathPara>
    </w:p>
    <w:p>
      <w:pPr>
        <w:spacing w:before="24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Margem Líquida (ML)</w:t>
      </w:r>
    </w:p>
    <w:p>
      <w:pPr>
        <w:spacing w:before="240"/>
        <w:jc w:val="both"/>
        <w:rPr>
          <w:rFonts w:ascii="Arial" w:hAnsi="Arial" w:cs="Arial"/>
          <w:b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ML=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Sobras/Perdas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Ingressos, Receitas Totais</m:t>
              </m:r>
            </m:den>
          </m:f>
          <m:r>
            <w:rPr>
              <w:rFonts w:ascii="Cambria Math" w:hAnsi="Cambria Math" w:cs="Arial"/>
              <w:bdr w:val="single" w:sz="4" w:space="0" w:color="auto"/>
            </w:rPr>
            <m:t xml:space="preserve"> ×100</m:t>
          </m:r>
        </m:oMath>
      </m:oMathPara>
    </w:p>
    <w:p>
      <w:pPr>
        <w:spacing w:before="240"/>
        <w:jc w:val="both"/>
        <w:rPr>
          <w:rFonts w:ascii="Arial" w:hAnsi="Arial" w:cs="Arial"/>
          <w:b/>
        </w:rPr>
      </w:pPr>
    </w:p>
    <w:p>
      <w:pPr>
        <w:pStyle w:val="PargrafodaLista"/>
        <w:numPr>
          <w:ilvl w:val="0"/>
          <w:numId w:val="1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INDICADORES ECONÔMICOS/FINANCEIROS DE LIQUIDEZ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30"/>
        <w:gridCol w:w="1322"/>
        <w:gridCol w:w="1322"/>
        <w:gridCol w:w="1320"/>
      </w:tblGrid>
      <w:tr>
        <w:trPr>
          <w:trHeight w:val="692"/>
        </w:trPr>
        <w:tc>
          <w:tcPr>
            <w:tcW w:w="2667" w:type="pct"/>
            <w:shd w:val="clear" w:color="auto" w:fill="BFBFBF" w:themeFill="background1" w:themeFillShade="BF"/>
            <w:vAlign w:val="center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78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778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777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 Liquidez Corrente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 Liquidez Seca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 Liquidez Interna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 Liquidez Total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</w:tbl>
    <w:p>
      <w:pPr>
        <w:pStyle w:val="PargrafodaLista"/>
        <w:spacing w:before="240"/>
        <w:ind w:left="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Liquidez Corrente (LC)</w:t>
      </w:r>
    </w:p>
    <w:p>
      <w:pPr>
        <w:spacing w:before="240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LC=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Ativo Circulante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Passivo Circulante</m:t>
              </m:r>
            </m:den>
          </m:f>
        </m:oMath>
      </m:oMathPara>
    </w:p>
    <w:p>
      <w:pPr>
        <w:spacing w:before="24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Liquidez Seca (LS)</w:t>
      </w:r>
    </w:p>
    <w:p>
      <w:pPr>
        <w:spacing w:before="240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LS=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Ativo Circulante-Estoques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Passivo Circulante</m:t>
              </m:r>
            </m:den>
          </m:f>
        </m:oMath>
      </m:oMathPara>
    </w:p>
    <w:p>
      <w:pPr>
        <w:spacing w:before="24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Liquidez Interna (LI)</w:t>
      </w:r>
    </w:p>
    <w:p>
      <w:pPr>
        <w:spacing w:before="240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LI=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Ativo Circulante-Créditos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Passivo Circulante</m:t>
              </m:r>
            </m:den>
          </m:f>
        </m:oMath>
      </m:oMathPara>
    </w:p>
    <w:p>
      <w:pPr>
        <w:spacing w:before="24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Liquidez Total (LT)</w:t>
      </w:r>
    </w:p>
    <w:p>
      <w:pPr>
        <w:spacing w:before="240"/>
        <w:jc w:val="both"/>
        <w:rPr>
          <w:rFonts w:ascii="Arial" w:hAnsi="Arial" w:cs="Arial"/>
          <w:b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LT=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Ativo Circulante+Realizável a Longo Prazo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Passivo Circulante+Passivo Não Circulante</m:t>
              </m:r>
            </m:den>
          </m:f>
        </m:oMath>
      </m:oMathPara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pStyle w:val="PargrafodaLista"/>
        <w:numPr>
          <w:ilvl w:val="0"/>
          <w:numId w:val="1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INDICADORES ECONÔMICOS/FINANCEIROS DE ENDIVIDAMENTO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30"/>
        <w:gridCol w:w="1322"/>
        <w:gridCol w:w="1322"/>
        <w:gridCol w:w="1320"/>
      </w:tblGrid>
      <w:tr>
        <w:trPr>
          <w:trHeight w:val="692"/>
        </w:trPr>
        <w:tc>
          <w:tcPr>
            <w:tcW w:w="2667" w:type="pct"/>
            <w:shd w:val="clear" w:color="auto" w:fill="BFBFBF" w:themeFill="background1" w:themeFillShade="BF"/>
            <w:vAlign w:val="center"/>
          </w:tcPr>
          <w:p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778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778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777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Endividamento Total (%)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Endividamento Financeiro Total (%)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Endividamento Longo Prazo (%)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3.4. Endividamento Financeiro de Longo Prazo (%)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</w:tbl>
    <w:p>
      <w:pPr>
        <w:pStyle w:val="PargrafodaLista"/>
        <w:spacing w:before="240"/>
        <w:ind w:left="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Endividamento Total (ET)</w:t>
      </w:r>
    </w:p>
    <w:p>
      <w:pPr>
        <w:spacing w:before="240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ET=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Passivo Circulante +Passivo Não Circulante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Ativo Total</m:t>
              </m:r>
            </m:den>
          </m:f>
          <m:r>
            <w:rPr>
              <w:rFonts w:ascii="Cambria Math" w:hAnsi="Cambria Math" w:cs="Arial"/>
              <w:bdr w:val="single" w:sz="4" w:space="0" w:color="auto"/>
            </w:rPr>
            <m:t xml:space="preserve"> ×100</m:t>
          </m:r>
        </m:oMath>
      </m:oMathPara>
    </w:p>
    <w:p>
      <w:pPr>
        <w:spacing w:before="24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Endividamento Financeiro Total (EFT)</w:t>
      </w:r>
    </w:p>
    <w:p>
      <w:pPr>
        <w:spacing w:before="240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EFT=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Empréstimos e Financiamentos de Curto Prazo +Longo Prazo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Ativo Total</m:t>
              </m:r>
            </m:den>
          </m:f>
          <m:r>
            <w:rPr>
              <w:rFonts w:ascii="Cambria Math" w:hAnsi="Cambria Math" w:cs="Arial"/>
              <w:bdr w:val="single" w:sz="4" w:space="0" w:color="auto"/>
            </w:rPr>
            <m:t xml:space="preserve"> ×100</m:t>
          </m:r>
        </m:oMath>
      </m:oMathPara>
    </w:p>
    <w:p>
      <w:pPr>
        <w:spacing w:before="24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Endividamento Longo Prazo (ELP)</w:t>
      </w:r>
    </w:p>
    <w:p>
      <w:pPr>
        <w:spacing w:before="240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ELP=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Passivo Não Circulante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Ativo Total</m:t>
              </m:r>
            </m:den>
          </m:f>
          <m:r>
            <w:rPr>
              <w:rFonts w:ascii="Cambria Math" w:hAnsi="Cambria Math" w:cs="Arial"/>
              <w:bdr w:val="single" w:sz="4" w:space="0" w:color="auto"/>
            </w:rPr>
            <m:t xml:space="preserve"> ×100</m:t>
          </m:r>
        </m:oMath>
      </m:oMathPara>
    </w:p>
    <w:p>
      <w:pPr>
        <w:spacing w:before="24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Endividamento Financeiro de Longo Prazo (EFLP)</w:t>
      </w:r>
    </w:p>
    <w:p>
      <w:pPr>
        <w:spacing w:before="240"/>
        <w:jc w:val="both"/>
        <w:rPr>
          <w:rFonts w:ascii="Arial" w:hAnsi="Arial" w:cs="Arial"/>
          <w:b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EFLP=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Empréstimos e Financiamentos de Longo Prazo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Ativo Total</m:t>
              </m:r>
            </m:den>
          </m:f>
          <m:r>
            <w:rPr>
              <w:rFonts w:ascii="Cambria Math" w:hAnsi="Cambria Math" w:cs="Arial"/>
              <w:bdr w:val="single" w:sz="4" w:space="0" w:color="auto"/>
            </w:rPr>
            <m:t xml:space="preserve"> ×100</m:t>
          </m:r>
        </m:oMath>
      </m:oMathPara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pStyle w:val="PargrafodaLista"/>
        <w:numPr>
          <w:ilvl w:val="0"/>
          <w:numId w:val="1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INDICADORES ECONÔMICOS/FINANCEIROS DE TESOURARIA</w:t>
      </w:r>
    </w:p>
    <w:p>
      <w:pPr>
        <w:pStyle w:val="PargrafodaLista"/>
        <w:rPr>
          <w:rFonts w:ascii="Arial" w:hAnsi="Arial" w:cs="Arial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30"/>
        <w:gridCol w:w="1322"/>
        <w:gridCol w:w="1322"/>
        <w:gridCol w:w="1320"/>
      </w:tblGrid>
      <w:tr>
        <w:trPr>
          <w:trHeight w:val="692"/>
        </w:trPr>
        <w:tc>
          <w:tcPr>
            <w:tcW w:w="2667" w:type="pct"/>
            <w:shd w:val="clear" w:color="auto" w:fill="BFBFBF" w:themeFill="background1" w:themeFillShade="BF"/>
            <w:vAlign w:val="center"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778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778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777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 Capital de Giro (%)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 Necessidade de Capital de Giro (%)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  <w:tr>
        <w:trPr>
          <w:trHeight w:val="692"/>
        </w:trPr>
        <w:tc>
          <w:tcPr>
            <w:tcW w:w="2667" w:type="pct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 Tesouraria (%)</w:t>
            </w: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8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b/>
        </w:rPr>
      </w:pPr>
    </w:p>
    <w:p>
      <w:pPr>
        <w:pStyle w:val="PargrafodaLista"/>
        <w:spacing w:before="240"/>
        <w:ind w:left="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de Giro (CDG)</w:t>
      </w:r>
    </w:p>
    <w:p>
      <w:pPr>
        <w:spacing w:before="240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CDG=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Arial"/>
                      <w:i/>
                      <w:bdr w:val="single" w:sz="4" w:space="0" w:color="auto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bdr w:val="single" w:sz="4" w:space="0" w:color="auto"/>
                    </w:rPr>
                    <m:t>Patrimônio Líquido +Passivo Não Circulante</m:t>
                  </m:r>
                </m:e>
              </m:d>
              <m:r>
                <w:rPr>
                  <w:rFonts w:ascii="Cambria Math" w:hAnsi="Cambria Math" w:cs="Arial"/>
                  <w:bdr w:val="single" w:sz="4" w:space="0" w:color="auto"/>
                </w:rPr>
                <m:t>-Ativo Não Circulante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Ativo Total</m:t>
              </m:r>
            </m:den>
          </m:f>
          <m:r>
            <w:rPr>
              <w:rFonts w:ascii="Cambria Math" w:hAnsi="Cambria Math" w:cs="Arial"/>
              <w:bdr w:val="single" w:sz="4" w:space="0" w:color="auto"/>
            </w:rPr>
            <m:t xml:space="preserve"> ×100</m:t>
          </m:r>
        </m:oMath>
      </m:oMathPara>
    </w:p>
    <w:p>
      <w:pPr>
        <w:spacing w:before="24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Necessidade de Capital de Giro (NCDG)</w:t>
      </w:r>
    </w:p>
    <w:p>
      <w:pPr>
        <w:spacing w:before="240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  <w:bdr w:val="single" w:sz="4" w:space="0" w:color="auto"/>
            </w:rPr>
            <m:t>NCDG=</m:t>
          </m:r>
          <m:f>
            <m:fPr>
              <m:ctrlPr>
                <w:rPr>
                  <w:rFonts w:ascii="Cambria Math" w:hAnsi="Cambria Math" w:cs="Arial"/>
                  <w:i/>
                  <w:bdr w:val="single" w:sz="4" w:space="0" w:color="auto"/>
                </w:rPr>
              </m:ctrlPr>
            </m:fPr>
            <m:num>
              <m:r>
                <w:rPr>
                  <w:rFonts w:ascii="Cambria Math" w:hAnsi="Cambria Math" w:cs="Arial"/>
                  <w:bdr w:val="single" w:sz="4" w:space="0" w:color="auto"/>
                </w:rPr>
                <m:t>Ativo Circulante Opereracional-Passivo Circulante Operacional</m:t>
              </m:r>
            </m:num>
            <m:den>
              <m:r>
                <w:rPr>
                  <w:rFonts w:ascii="Cambria Math" w:hAnsi="Cambria Math" w:cs="Arial"/>
                  <w:bdr w:val="single" w:sz="4" w:space="0" w:color="auto"/>
                </w:rPr>
                <m:t>Ativo Total</m:t>
              </m:r>
            </m:den>
          </m:f>
          <m:r>
            <w:rPr>
              <w:rFonts w:ascii="Cambria Math" w:hAnsi="Cambria Math" w:cs="Arial"/>
              <w:bdr w:val="single" w:sz="4" w:space="0" w:color="auto"/>
            </w:rPr>
            <m:t xml:space="preserve"> ×100</m:t>
          </m:r>
        </m:oMath>
      </m:oMathPara>
    </w:p>
    <w:p>
      <w:pPr>
        <w:spacing w:before="240"/>
        <w:jc w:val="both"/>
        <w:rPr>
          <w:rFonts w:ascii="Arial" w:eastAsiaTheme="minorEastAsia" w:hAnsi="Arial" w:cs="Arial"/>
        </w:rPr>
      </w:pPr>
    </w:p>
    <w:p>
      <w:pPr>
        <w:spacing w:before="240"/>
        <w:jc w:val="both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</w:rPr>
            <m:t>Ativo Circulante Operacional=Contas a Receber+Estoques</m:t>
          </m:r>
        </m:oMath>
      </m:oMathPara>
    </w:p>
    <w:p>
      <w:pPr>
        <w:spacing w:before="240"/>
        <w:jc w:val="both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</w:rPr>
            <m:t>Passivo Circulante Operacional=Contas a Pagar</m:t>
          </m:r>
        </m:oMath>
      </m:oMathPara>
    </w:p>
    <w:p>
      <w:pPr>
        <w:spacing w:before="240"/>
        <w:jc w:val="both"/>
        <w:rPr>
          <w:rFonts w:ascii="Arial" w:hAnsi="Arial" w:cs="Arial"/>
        </w:rPr>
      </w:pPr>
    </w:p>
    <w:p>
      <w:pPr>
        <w:pStyle w:val="PargrafodaLista"/>
        <w:numPr>
          <w:ilvl w:val="1"/>
          <w:numId w:val="1"/>
        </w:num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Tesouraria (T)</w:t>
      </w:r>
    </w:p>
    <w:p>
      <w:pPr>
        <w:spacing w:before="240"/>
        <w:jc w:val="both"/>
        <w:rPr>
          <w:rFonts w:ascii="Arial" w:hAnsi="Arial" w:cs="Arial"/>
        </w:rPr>
      </w:pPr>
      <m:oMathPara>
        <m:oMath>
          <m:r>
            <w:rPr>
              <w:rFonts w:ascii="Cambria Math" w:eastAsiaTheme="minorEastAsia" w:hAnsi="Cambria Math" w:cs="Arial"/>
              <w:bdr w:val="single" w:sz="4" w:space="0" w:color="auto"/>
            </w:rPr>
            <m:t>T=CDG-NCDG</m:t>
          </m:r>
        </m:oMath>
      </m:oMathPara>
    </w:p>
    <w:p>
      <w:pPr>
        <w:spacing w:before="240"/>
        <w:jc w:val="both"/>
        <w:rPr>
          <w:rFonts w:ascii="Arial" w:hAnsi="Arial" w:cs="Arial"/>
        </w:rPr>
      </w:pPr>
    </w:p>
    <w:p>
      <w:pPr>
        <w:rPr>
          <w:rFonts w:ascii="Arial" w:hAnsi="Arial" w:cs="Arial"/>
          <w:b/>
        </w:rPr>
      </w:pPr>
    </w:p>
    <w:p>
      <w:pPr>
        <w:pStyle w:val="PargrafodaLista"/>
        <w:rPr>
          <w:rFonts w:ascii="Arial" w:hAnsi="Arial" w:cs="Arial"/>
          <w:b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D7B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1755A-67B6-45AC-84AB-117AA22B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Martins da Silva Muller Mattos</dc:creator>
  <cp:keywords/>
  <dc:description/>
  <cp:lastModifiedBy>Jefferson Vinicius Meister</cp:lastModifiedBy>
  <cp:revision>8</cp:revision>
  <dcterms:created xsi:type="dcterms:W3CDTF">2023-06-06T12:54:00Z</dcterms:created>
  <dcterms:modified xsi:type="dcterms:W3CDTF">2023-08-03T18:19:00Z</dcterms:modified>
</cp:coreProperties>
</file>