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  <w:r>
        <w:rPr>
          <w:rFonts w:ascii="Verdana" w:eastAsia="Bitstream Vera Sans" w:hAnsi="Verdana" w:cs="Arial"/>
          <w:b/>
          <w:caps/>
          <w:kern w:val="2"/>
          <w:sz w:val="24"/>
          <w:szCs w:val="24"/>
        </w:rPr>
        <w:t>PLANO DE TRABALHO – PPMC III</w:t>
      </w:r>
    </w:p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</w:tblGrid>
      <w:tr>
        <w:trPr>
          <w:trHeight w:hRule="exact" w:val="369"/>
          <w:jc w:val="center"/>
        </w:trPr>
        <w:tc>
          <w:tcPr>
            <w:tcW w:w="49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PARTÍCIPES</w:t>
            </w:r>
          </w:p>
        </w:tc>
      </w:tr>
      <w:tr>
        <w:trPr>
          <w:trHeight w:hRule="exact" w:val="432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>
        <w:trPr>
          <w:trHeight w:hRule="exact" w:val="579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>
        <w:trPr>
          <w:trHeight w:hRule="exact" w:val="369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620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>
        <w:trPr>
          <w:trHeight w:hRule="exact" w:val="369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>
        <w:trPr>
          <w:trHeight w:hRule="exact" w:val="640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(41) 3313 - 4000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www.agricultura.pr.gov.br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https://www.agricultura.pr.gov.br/Fale-com-SEAB</w:t>
            </w:r>
          </w:p>
        </w:tc>
      </w:tr>
      <w:tr>
        <w:trPr>
          <w:trHeight w:hRule="exact" w:val="36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>
        <w:trPr>
          <w:trHeight w:hRule="exact" w:val="56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nº 9, de 1º de janeiro de 2023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>
      <w:pPr>
        <w:widowControl w:val="0"/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1567"/>
        <w:gridCol w:w="1223"/>
        <w:gridCol w:w="1011"/>
        <w:gridCol w:w="1385"/>
        <w:gridCol w:w="2419"/>
      </w:tblGrid>
      <w:tr>
        <w:trPr>
          <w:trHeight w:hRule="exact" w:val="369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CONVENENTE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IPDM (IPARDES)</w:t>
            </w:r>
          </w:p>
        </w:tc>
      </w:tr>
      <w:tr>
        <w:trPr>
          <w:trHeight w:hRule="exact" w:val="512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483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</w:t>
            </w:r>
          </w:p>
        </w:tc>
      </w:tr>
      <w:tr>
        <w:trPr>
          <w:trHeight w:hRule="exact" w:val="632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PREFEITO MUNICIPAL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RG (LGPD*)</w:t>
            </w:r>
          </w:p>
        </w:tc>
      </w:tr>
      <w:tr>
        <w:trPr>
          <w:trHeight w:hRule="exact" w:val="482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CPF (LGPD*)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</w:t>
            </w:r>
            <w:r>
              <w:rPr>
                <w:rFonts w:ascii="Verdana" w:hAnsi="Verdana" w:cs="Arial"/>
                <w:b/>
              </w:rPr>
              <w:t>L</w:t>
            </w:r>
          </w:p>
        </w:tc>
      </w:tr>
      <w:tr>
        <w:trPr>
          <w:trHeight w:hRule="exact" w:val="481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 w:cs="Arial"/>
        </w:rPr>
      </w:pPr>
      <w:r>
        <w:rPr>
          <w:rFonts w:ascii="Verdana" w:hAnsi="Verdana" w:cs="Arial"/>
          <w:sz w:val="18"/>
          <w:szCs w:val="18"/>
        </w:rPr>
        <w:t>*Seguir padrão adotado pelo Município em cumprimento à LGPD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jc w:val="center"/>
        <w:rPr>
          <w:rFonts w:ascii="Verdana" w:hAnsi="Verdana" w:cs="Arial"/>
          <w:b/>
          <w:bCs/>
          <w:i/>
          <w:color w:val="FF0000"/>
        </w:rPr>
      </w:pPr>
      <w:r>
        <w:rPr>
          <w:rFonts w:ascii="Verdana" w:hAnsi="Verdana" w:cs="Arial"/>
          <w:b/>
          <w:i/>
          <w:color w:val="FF0000"/>
          <w:highlight w:val="yellow"/>
        </w:rPr>
        <w:t>Os itens destacados em amarelo são instruções que atendidas pelo Município deverão ser excluídas do Plano de Trabalho.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36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2 OBJETO</w:t>
            </w:r>
          </w:p>
        </w:tc>
      </w:tr>
      <w:tr>
        <w:trPr>
          <w:trHeight w:hRule="exact" w:val="3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2.1 IDENTIFICAÇÃO DO OBJETO </w:t>
            </w:r>
          </w:p>
        </w:tc>
      </w:tr>
      <w:tr>
        <w:trPr>
          <w:trHeight w:hRule="exact" w:val="261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</w:rPr>
              <w:t xml:space="preserve">Constitui objeto deste Convênio a união de esforços dos partícipes para o desenvolvimento de ações que integram o Plano Paraná Mais Cidades III – PPMC III, voltadas ao desenvolvimento rural sustentável em proveito, prioritariamente, do incremento da agricultura familiar, mediante a aquisição de </w:t>
            </w:r>
            <w:proofErr w:type="spellStart"/>
            <w:r>
              <w:rPr>
                <w:rFonts w:ascii="Verdana" w:hAnsi="Verdana" w:cs="Arial"/>
                <w:i/>
                <w:highlight w:val="yellow"/>
              </w:rPr>
              <w:t>xxx</w:t>
            </w:r>
            <w:proofErr w:type="spellEnd"/>
            <w:r>
              <w:rPr>
                <w:rFonts w:ascii="Verdana" w:hAnsi="Verdana" w:cs="Arial"/>
                <w:i/>
                <w:highlight w:val="yellow"/>
              </w:rPr>
              <w:t xml:space="preserve"> toneladas de calcário</w:t>
            </w:r>
            <w:proofErr w:type="gramStart"/>
            <w:r>
              <w:rPr>
                <w:rFonts w:ascii="Verdana" w:hAnsi="Verdana" w:cs="Arial"/>
                <w:i/>
                <w:highlight w:val="yellow"/>
              </w:rPr>
              <w:t xml:space="preserve"> ....</w:t>
            </w:r>
            <w:proofErr w:type="gramEnd"/>
            <w:r>
              <w:rPr>
                <w:rFonts w:ascii="Verdana" w:hAnsi="Verdana" w:cs="Arial"/>
              </w:rPr>
              <w:t xml:space="preserve">  , visando o </w:t>
            </w:r>
            <w:r>
              <w:rPr>
                <w:rFonts w:ascii="Verdana" w:hAnsi="Verdana" w:cs="Arial"/>
                <w:i/>
                <w:highlight w:val="yellow"/>
              </w:rPr>
              <w:t xml:space="preserve">aumento da produtividade das explorações agropecuárias </w:t>
            </w:r>
            <w:r>
              <w:rPr>
                <w:rFonts w:ascii="Verdana" w:hAnsi="Verdana" w:cs="Arial"/>
              </w:rPr>
              <w:t>dos agricultores familiares.</w:t>
            </w:r>
          </w:p>
          <w:p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41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3. VIGÊNCIA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INÍCIO: </w:t>
            </w:r>
            <w:r>
              <w:rPr>
                <w:rFonts w:ascii="Verdana" w:hAnsi="Verdana" w:cs="Arial"/>
              </w:rPr>
              <w:t>Data da publicação do TC no DIOE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TÉRMINO: </w:t>
            </w:r>
            <w:r>
              <w:rPr>
                <w:rFonts w:ascii="Verdana" w:hAnsi="Verdana" w:cs="Arial"/>
                <w:highlight w:val="yellow"/>
              </w:rPr>
              <w:t>24</w:t>
            </w:r>
            <w:r>
              <w:rPr>
                <w:rFonts w:ascii="Verdana" w:hAnsi="Verdana" w:cs="Arial"/>
              </w:rPr>
              <w:t xml:space="preserve"> meses da data da publicação do Termo de Convênio no DIOE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val="3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4. JUSTIFICATIVAS PARA A CELEBRAÇÃO DO CONVÊNIO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(art. 681, II, do Dec. nº 10.086/22)</w:t>
            </w:r>
          </w:p>
        </w:tc>
      </w:tr>
      <w:tr>
        <w:trPr>
          <w:trHeight w:val="6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 Município apresenta os seguintes indicadores de desenvolvimento socioeconômico e características gerais: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Índice Desempenho Municipal (IDM/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Ipardes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ou IDH -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VBP - Principais produtos,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Proporção de agricultores familiares em relação ao total de agricultores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Famílias do meio rural abaixo da linha de pobreza e/ou inscritas no 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CadUnico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Estrutura fundiária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Outras ações relevantes desenvolvidas pelo Município.</w:t>
            </w:r>
          </w:p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Razões que justificam a celebração do convênio, descrever</w:t>
            </w:r>
            <w:r>
              <w:rPr>
                <w:rFonts w:ascii="Verdana" w:hAnsi="Verdana" w:cs="Arial"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s) interesse(s) público(s), quer sejam, a(s) necessidade(s) da coletividade que pela soma de esforços pelas Administrações Públicas do Estado e do Município será(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atendido(s) ou satisfeito(s);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 que a </w:t>
            </w:r>
            <w:r>
              <w:rPr>
                <w:rStyle w:val="Forte"/>
                <w:rFonts w:ascii="Verdana" w:hAnsi="Verdana" w:cs="Arial"/>
                <w:b w:val="0"/>
                <w:bCs w:val="0"/>
                <w:i/>
                <w:color w:val="1F1F1F"/>
                <w:sz w:val="18"/>
                <w:szCs w:val="18"/>
                <w:highlight w:val="yellow"/>
                <w:shd w:val="clear" w:color="auto" w:fill="FFFFFF"/>
              </w:rPr>
              <w:t>implementação do Projeto Técnico se alinha aos objetivos do Programa ou ação específica estadual ou municipal</w:t>
            </w: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s) problema(s) de interesse público a ser(em) resolvido(s); </w:t>
            </w: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/>
        </w:rPr>
        <w:sectPr>
          <w:headerReference w:type="default" r:id="rId8"/>
          <w:footerReference w:type="default" r:id="rId9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Cs w:val="16"/>
              </w:rPr>
            </w:pPr>
            <w:r>
              <w:rPr>
                <w:rFonts w:ascii="Verdana" w:hAnsi="Verdana" w:cs="Arial"/>
                <w:b/>
                <w:sz w:val="22"/>
                <w:szCs w:val="16"/>
              </w:rPr>
              <w:lastRenderedPageBreak/>
              <w:t xml:space="preserve">5. METAS </w:t>
            </w:r>
            <w:r>
              <w:rPr>
                <w:rFonts w:ascii="Verdana" w:hAnsi="Verdana" w:cs="Arial"/>
                <w:sz w:val="14"/>
                <w:szCs w:val="16"/>
              </w:rPr>
              <w:t>(acrescentar quantas metas forem necessárias para a execução do objeto)</w:t>
            </w:r>
          </w:p>
        </w:tc>
      </w:tr>
      <w:tr>
        <w:trPr>
          <w:trHeight w:val="427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5.1. META 1 – </w:t>
            </w:r>
            <w:r>
              <w:rPr>
                <w:rFonts w:ascii="Verdana" w:hAnsi="Verdana" w:cs="Arial"/>
                <w:bCs/>
                <w:i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Cs/>
                <w:i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Cs/>
                <w:i/>
                <w:iCs/>
                <w:highlight w:val="yellow"/>
              </w:rPr>
              <w:t xml:space="preserve"> .....%</w:t>
            </w:r>
          </w:p>
        </w:tc>
      </w:tr>
      <w:tr>
        <w:trPr>
          <w:trHeight w:val="41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5.2. DESCRIÇÃO DA META</w:t>
            </w:r>
          </w:p>
        </w:tc>
      </w:tr>
      <w:tr>
        <w:trPr>
          <w:trHeight w:val="788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Por meio da correção de solo e de práticas mecânicas mais eficientes e sustentáveis, promover a elevação da 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single"/>
              </w:rPr>
              <w:t>produtividade (a) ou rentabilidade (b)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Ou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meio do fomento na utilização de corretivo de solo e da adoção de práticas mecânicas mais eficientes e sustentáveis e com menor custo ao agricultor, promover a redução no custo de produção.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Neste item devem ser considerados quais são os problemas que a parceria entre as administrações públicas estadual e municipal pretendem resolver?</w:t>
            </w: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No exemplo do corretivo de solo: acesso ao corretivo correção devido ao custo e a disponibilidade? Aumento da fertilidade em função da elevação do </w:t>
            </w:r>
            <w:proofErr w:type="spellStart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ph</w:t>
            </w:r>
            <w:proofErr w:type="spellEnd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 (redução da acidez)? </w:t>
            </w:r>
            <w:proofErr w:type="gramStart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baixa</w:t>
            </w:r>
            <w:proofErr w:type="gramEnd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 resistência das plantas em veranicos (baixo desenvolvimento do sistema radicular das plantas),</w:t>
            </w:r>
            <w:r>
              <w:rPr>
                <w:i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reduzindo a produção e a produtividade e, por conseguinte, o VPB do Município e a atividade econômica local?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5.3. LOCALIZAÇÃO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93"/>
        <w:gridCol w:w="1794"/>
        <w:gridCol w:w="1794"/>
      </w:tblGrid>
      <w:tr>
        <w:trPr>
          <w:trHeight w:val="423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>5.4. BENEFICIÁRIOS</w:t>
            </w:r>
          </w:p>
        </w:tc>
      </w:tr>
      <w:tr>
        <w:trPr>
          <w:trHeight w:val="26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  <w:lang w:eastAsia="pt-BR"/>
              </w:rPr>
              <w:t>QUANTIDADE</w:t>
            </w:r>
          </w:p>
        </w:tc>
      </w:tr>
      <w:tr>
        <w:trPr>
          <w:trHeight w:val="309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DIRETOS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INDIRETOS*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TOTAL</w:t>
            </w:r>
          </w:p>
        </w:tc>
      </w:tr>
      <w:tr>
        <w:trPr>
          <w:trHeight w:val="7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Verdana" w:hAnsi="Verdana" w:cs="Arial"/>
                <w:i/>
                <w:highlight w:val="yellow"/>
              </w:rPr>
            </w:pPr>
            <w:r>
              <w:rPr>
                <w:rFonts w:ascii="Verdana" w:eastAsia="Arial" w:hAnsi="Verdana" w:cs="Arial"/>
                <w:i/>
                <w:highlight w:val="yellow"/>
              </w:rPr>
              <w:t>Agricultores familiares que exploram as cadeias produtivas de feijão, arroz, oleícolas e fruticultura, das comunidades de 3 Pinheiros, Invernada e Beira Linha, previamente selecionados pelo Conselho Municipal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450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600</w:t>
            </w:r>
          </w:p>
        </w:tc>
      </w:tr>
      <w:tr>
        <w:trPr>
          <w:trHeight w:val="141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ind w:right="284"/>
              <w:jc w:val="both"/>
              <w:rPr>
                <w:rFonts w:ascii="Verdana" w:eastAsia="Arial" w:hAnsi="Verdana" w:cs="Arial"/>
                <w:sz w:val="14"/>
                <w:szCs w:val="14"/>
              </w:rPr>
            </w:pPr>
            <w:r>
              <w:rPr>
                <w:rFonts w:ascii="Verdana" w:eastAsia="Arial" w:hAnsi="Verdana" w:cs="Arial"/>
                <w:sz w:val="14"/>
                <w:szCs w:val="14"/>
              </w:rPr>
              <w:t xml:space="preserve">* Beneficiários indiretos são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  <w:u w:val="words"/>
              </w:rPr>
              <w:t xml:space="preserve">todas as pessoas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eneficiadas pelos </w:t>
            </w:r>
            <w:r>
              <w:rPr>
                <w:rFonts w:ascii="Verdana" w:eastAsia="Arial" w:hAnsi="Verdana" w:cs="Arial"/>
                <w:sz w:val="14"/>
                <w:szCs w:val="14"/>
                <w:u w:val="single"/>
              </w:rPr>
              <w:t>impactos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 positivos do projeto.</w:t>
            </w:r>
          </w:p>
        </w:tc>
      </w:tr>
    </w:tbl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590"/>
        <w:gridCol w:w="3182"/>
        <w:gridCol w:w="1294"/>
        <w:gridCol w:w="992"/>
        <w:gridCol w:w="1274"/>
        <w:gridCol w:w="1272"/>
      </w:tblGrid>
      <w:tr>
        <w:trPr>
          <w:trHeight w:val="38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>
            <w:pPr>
              <w:suppressAutoHyphens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5.5. DETALHAMENTO DAS DESPESAS</w:t>
            </w:r>
          </w:p>
        </w:tc>
      </w:tr>
      <w:tr>
        <w:trPr>
          <w:trHeight w:val="851"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NATUREZA DA DESPESA</w:t>
            </w:r>
          </w:p>
          <w:p>
            <w:pPr>
              <w:widowControl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(código orçam.)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UNITÁRIO</w:t>
            </w:r>
            <w:r>
              <w:rPr>
                <w:rStyle w:val="ncoradanotaderodap"/>
                <w:rFonts w:ascii="Verdana" w:hAnsi="Verdana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TOTAL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(R$)</w:t>
            </w:r>
          </w:p>
        </w:tc>
      </w:tr>
      <w:tr>
        <w:trPr>
          <w:trHeight w:val="362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33.90.30.31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Calcário .....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Ton.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1.000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220.000,00</w:t>
            </w:r>
          </w:p>
        </w:tc>
      </w:tr>
      <w:tr>
        <w:trPr>
          <w:trHeight w:val="26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35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416"/>
          <w:jc w:val="center"/>
        </w:trPr>
        <w:tc>
          <w:tcPr>
            <w:tcW w:w="3289" w:type="pct"/>
            <w:gridSpan w:val="4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1.000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220.000,00</w:t>
            </w:r>
          </w:p>
        </w:tc>
      </w:tr>
    </w:tbl>
    <w:p/>
    <w:p/>
    <w:p/>
    <w:p/>
    <w:p/>
    <w:p/>
    <w:p/>
    <w:p/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2"/>
        <w:gridCol w:w="2356"/>
        <w:gridCol w:w="1520"/>
        <w:gridCol w:w="1545"/>
        <w:gridCol w:w="1316"/>
        <w:gridCol w:w="2443"/>
      </w:tblGrid>
      <w:tr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lastRenderedPageBreak/>
              <w:t>6. DETALHAMENTO DAS ETAPAS E CRONOGRAMA DE EXECUÇÃO FÍSICO-FINANCEIRO</w:t>
            </w:r>
          </w:p>
        </w:tc>
      </w:tr>
      <w:tr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Meta 1 </w:t>
            </w:r>
            <w:r>
              <w:rPr>
                <w:rFonts w:ascii="Verdana" w:hAnsi="Verdana" w:cs="Arial"/>
                <w:bCs/>
                <w:iCs/>
              </w:rPr>
              <w:t xml:space="preserve">– </w:t>
            </w:r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 xml:space="preserve"> .....%</w:t>
            </w:r>
          </w:p>
        </w:tc>
      </w:tr>
      <w:tr>
        <w:trPr>
          <w:trHeight w:val="377"/>
          <w:jc w:val="center"/>
        </w:trPr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Etapas da  Execução</w:t>
            </w:r>
          </w:p>
        </w:tc>
        <w:tc>
          <w:tcPr>
            <w:tcW w:w="11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Período de Execução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 xml:space="preserve">Instrumentos de avaliação do cumprimento da fase ou etapa </w:t>
            </w:r>
          </w:p>
        </w:tc>
      </w:tr>
      <w:tr>
        <w:trPr>
          <w:trHeight w:val="378"/>
          <w:jc w:val="center"/>
        </w:trPr>
        <w:tc>
          <w:tcPr>
            <w:tcW w:w="562" w:type="pct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39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Licitação para aquisição do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.... calcário .......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Termo de homologação da licitação disponibilizado ao Gestor da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Seleção dos beneficiários, de acordo com critérios objetivos definidos pelo CMDRS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Relação homologada pelo CMDRS e divulgada no site da Prefeitura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Análise de solo (coleta das amostras e análise do resultado)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Resultado da análise de solo e laudo de recomendação de correção e adubação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Repasse dos recursos e depósito da contrapartida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e</w:t>
            </w:r>
            <w:proofErr w:type="gram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apresentação da declaração de atendimento das disposições legais aplicáveis à licitação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.... dias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Nota de liquidação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Comprovante depósito contrapartida (Município)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Publicação do extrato do contrato de fornecimento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Depósito dos recursos na conta específica do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Contrato assinado </w:t>
            </w:r>
            <w:r>
              <w:rPr>
                <w:rFonts w:ascii="Verdana" w:hAnsi="Verdana" w:cs="Arial"/>
                <w:sz w:val="16"/>
                <w:szCs w:val="16"/>
              </w:rPr>
              <w:t>disponibilizado no SIT/TCE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Calcário entregue no Município, conforme local definido no processo licitatório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Publicação do contrato de fornecimento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Notas Fiscais atestadas pelo Gestor municipal do convênio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 xml:space="preserve">Entrega e 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  <w:u w:val="single"/>
              </w:rPr>
              <w:t>aplicação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 xml:space="preserve"> do calcários aos agricultores selecionados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Entrega do calcário no município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Termo de Recebimento assinado pelo agricultor, com registro fotográfico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1.x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1.y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Assistência técnica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Laudos de Ater, lista de presença nas reuniões,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1.z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Prestação de contas parcial</w:t>
            </w:r>
          </w:p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Verdana" w:eastAsia="Lucida Sans Unicode" w:hAnsi="Verdana" w:cs="Arial"/>
                <w:bCs/>
                <w:color w:val="FF0000"/>
                <w:sz w:val="16"/>
                <w:szCs w:val="16"/>
                <w:highlight w:val="yellow"/>
              </w:rPr>
              <w:t>quando se tratar de convênios com parcelamento do repasse dos recursos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Conclusão da aplicação da parcela anterior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(i) a apresentação de Relatórios de Execução Física e Financeira;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) os comprovantes de despesas;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) os Relatórios Fotográficos,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1.w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Avaliação do cumprimento da meta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Município/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Termo final do prazo de execução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Termo final da vigência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com as produtividades médias obtida a cada safra, comparativamente com o histórico de cada agricultor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</w:p>
        </w:tc>
      </w:tr>
    </w:tbl>
    <w:p/>
    <w:p/>
    <w:p/>
    <w:p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7. DETALHAMENTO DOS RECURSOS A SEREM ALOCADOS</w:t>
            </w:r>
          </w:p>
        </w:tc>
      </w:tr>
      <w:tr>
        <w:trPr>
          <w:trHeight w:val="413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lastRenderedPageBreak/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>
        <w:trPr>
          <w:trHeight w:val="419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SERVIÇOS*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</w:tr>
      <w:tr>
        <w:trPr>
          <w:trHeight w:val="55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</w:tr>
      <w:tr>
        <w:trPr>
          <w:trHeight w:val="56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>
        <w:trPr>
          <w:trHeight w:val="55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 A definição dos valores dos bens ou serviços com os quais o Município participará na realização do objeto do convênio (contrapartida) deve seguir regras aceitas no mercado e ser possível de verificação (art. 690, § 2º, do Dec. Est. nº 10.086/22)</w:t>
      </w:r>
    </w:p>
    <w:p>
      <w:pPr>
        <w:rPr>
          <w:rFonts w:ascii="Verdana" w:hAnsi="Verdana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2039"/>
        <w:gridCol w:w="3570"/>
        <w:gridCol w:w="1321"/>
        <w:gridCol w:w="1321"/>
        <w:gridCol w:w="1321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8. PLANO DE APLICAÇÃO DOS RECURSOS*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NATUREZA DE DESPESA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hAnsi="Verdana" w:cs="Arial"/>
                <w:sz w:val="14"/>
                <w:szCs w:val="14"/>
                <w:lang w:eastAsia="pt-BR"/>
              </w:rPr>
              <w:t>(elemento e sub elemento)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DESCRIÇÃO DAS DESPESAS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(qualitativa e quantitativa)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RECURSOS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30.31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1.000 toneladas de calcário ............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à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 granel ........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198.000,00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 xml:space="preserve"> 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 xml:space="preserve"> 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198.000,00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  <w:tr>
        <w:trPr>
          <w:trHeight w:val="42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</w:tbl>
    <w:p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* Podem serem incluídas despesas que levem em conta todo o ciclo de vida do objeto adquirido/executado, inclusive as questões relacionadas à </w:t>
      </w:r>
      <w:r>
        <w:rPr>
          <w:rFonts w:ascii="Verdana" w:hAnsi="Verdana"/>
          <w:bCs/>
          <w:i/>
          <w:iCs/>
          <w:sz w:val="14"/>
          <w:szCs w:val="14"/>
        </w:rPr>
        <w:t>manutenção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utilização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reposição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 xml:space="preserve">depreciação </w:t>
      </w:r>
      <w:r>
        <w:rPr>
          <w:rFonts w:ascii="Verdana" w:hAnsi="Verdana"/>
          <w:i/>
          <w:iCs/>
          <w:sz w:val="14"/>
          <w:szCs w:val="14"/>
        </w:rPr>
        <w:t xml:space="preserve">e </w:t>
      </w:r>
      <w:r>
        <w:rPr>
          <w:rFonts w:ascii="Verdana" w:hAnsi="Verdana"/>
          <w:bCs/>
          <w:i/>
          <w:iCs/>
          <w:sz w:val="14"/>
          <w:szCs w:val="14"/>
        </w:rPr>
        <w:t>impacto ambiental</w:t>
      </w:r>
      <w:r>
        <w:rPr>
          <w:rFonts w:ascii="Verdana" w:hAnsi="Verdana"/>
          <w:i/>
          <w:iCs/>
          <w:sz w:val="14"/>
          <w:szCs w:val="14"/>
        </w:rPr>
        <w:t>, entre outros.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8"/>
        <w:gridCol w:w="3476"/>
        <w:gridCol w:w="3474"/>
      </w:tblGrid>
      <w:tr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spacing w:before="120" w:after="120"/>
              <w:ind w:right="227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22"/>
                <w:szCs w:val="22"/>
              </w:rPr>
              <w:t>9. CRONOGRAMA DE DESEMBOLSO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 1</w:t>
            </w:r>
          </w:p>
        </w:tc>
        <w:tc>
          <w:tcPr>
            <w:tcW w:w="336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PARCELAS 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(a partir da disponibilização do Termo de Homologação da licitação)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>1° PARCELA/ÚNICA - 15 DIAS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2° PARCELA XX DIAS 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SEAB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TOTAL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* O depósito da contrapartida financeira deverá ser concomitante ao depósito do recurso pelo Concedente. </w:t>
      </w:r>
    </w:p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** No caso de parcelamento do repasse, apresentar Prestação de Contas Parcial (art. 679, inciso V, alínea ‘c’ do Decreto nº 10.086, de 2022).</w:t>
      </w:r>
    </w:p>
    <w:p/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lastRenderedPageBreak/>
              <w:t>10. FORMA DE EXECUÇÃO DAS ATIVIDADES E DE CUMPRIMENTO DA(S) META(S)</w:t>
            </w:r>
          </w:p>
        </w:tc>
      </w:tr>
      <w:tr>
        <w:trPr>
          <w:trHeight w:val="1068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Descrever as ações, os procedimentos, as técnicas, os meios que serão empregados para a meta ser atingida. No exemplo, para elevar a produtividade média das lavouras de 150 agricultores familiares nos referidos percentuais na vigência do convênio, o que será necessário fazer? (premissa: tipo e quantidade de corretivo e respectivos valores já foram definidos; orçamentos apresentados).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Quais são os critérios objetivos para selecionar os 150 agricultores beneficiados (tamanho da propriedade, renda familiar, experiência agrícola e interesse em adotar práticas de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Como esses agricultores serão identificados e contatados (visitas técnicas, reuniões comunitárias e divulgação de informações nas mídias sociais?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de beneficiários será homologada pelo CMDRS?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Definição da quantidade máxima por beneficiário?;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Obrigatoriedade de análise de solo e a estratégia para viabilizar a retirada das amostras, interpretação do resultado e custeio da despesa;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color w:val="FF0000"/>
                <w:sz w:val="18"/>
                <w:szCs w:val="18"/>
                <w:highlight w:val="yellow"/>
              </w:rPr>
              <w:t>Em ano eleitoral deverá ser prevista contrapartida do beneficiário (análise, transporte, aplicação ou outra);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Sobre a distribuição do calcário. Se será entregue na propriedade ou em outro local;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serão estimulados à adoção das técnicas para correção de solo e das práticas de sustentabilidade na agricultura (ações de educação e conscientização, como palestras, reuniões e visitas a Unidades Demonstrativas,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 prestada assistência técnica aos beneficiários? Por quem? Quando? Qual a forma (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massal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, individual, Unidades Demonstrativas, outras)? 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feito o acompanhamento e a avaliação do impacto da correção de solos nos agricultores beneficiados (indicadores de produtividade, rentabilidade,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Existe ou se pretende alguma parceria ou suporte de outras organizações ou entidades para alcançar essa meta?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serão avaliados e comunicados o progresso e os resultados alcançados aos envolvidos e à comunidade em geral (relatórios, eventos, mídias sociais,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Para garantir que a meta seja alcançada e que os agricultores envolvidos obtenham os maiores da mecanização eficiente e sustentável, é importante responder a todas as perguntas que auxiliem no planejamento e na execução da ação.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6"/>
                <w:highlight w:val="yellow"/>
              </w:rPr>
            </w:pPr>
          </w:p>
        </w:tc>
        <w:bookmarkStart w:id="0" w:name="_Hlk132210752"/>
        <w:bookmarkEnd w:id="0"/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11. PARÂMETRO(S) PARA AFERIÇÃO DO CUMPRIMENTO DA META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Descrever a forma, modo, de avaliação dos resultados que permitirão a aferição dos resultados do convênio (ou seja, a conferência de seu objeto ter sido cumprido).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Considerar que para cada “problema” houve um modo, meio ou forma que o detectou ou o avaliou, sendo esse o parâmetro objetivo de avaliação.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Aumento da produtividade: produção média das culturas ........................... obtidas nos últimos dois anos anteriores ao recebimento do benefício em comparação com a produção média obtida na vigência do convênio.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A obtenção dessa informação será por meio de laudo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de Ater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, por amostragem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highlight w:val="yellow"/>
              </w:rPr>
            </w:pPr>
          </w:p>
        </w:tc>
      </w:tr>
    </w:tbl>
    <w:p/>
    <w:p/>
    <w:p/>
    <w:p/>
    <w:p/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lastRenderedPageBreak/>
              <w:t>12. COMPATIBILIDADE DOS CUSTOS COM OS PREÇOS PRATICADOS NO MERCADO</w:t>
            </w:r>
          </w:p>
        </w:tc>
      </w:tr>
      <w:tr>
        <w:trPr>
          <w:trHeight w:val="812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Elementos que demonstrem a compatibilidade dos custos com os preços praticados no mercado, por meio de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“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words"/>
              </w:rPr>
              <w:t>orçamentos preliminares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”, especificando qual das formas de cálculo permitida foi utilizada para fins de definição do custo (média, mediana ou menor valor)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Para evidenciar a compatibilidade dos custos com os preços praticados no mercado, foram empregados "orçamentos preliminares". No processo de definição dos custos, optou-se pela utilização da metodologia de cálculo que prioriza a media, considerando-a como uma medida estatística mais robusta para mitigar distorções causadas por valores extremos. A escolha pela média visa proporcionar uma visão mais equilibrada dos custos, refletindo com maior fidedignidade o cenário do mercado.</w:t>
            </w:r>
          </w:p>
          <w:p>
            <w:pPr>
              <w:suppressAutoHyphens w:val="0"/>
              <w:spacing w:line="276" w:lineRule="auto"/>
              <w:rPr>
                <w:rFonts w:ascii="Verdana" w:hAnsi="Verdana"/>
                <w:i/>
              </w:rPr>
            </w:pP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13. RELAÇÃO CUSTO/BENEFÍCIO</w:t>
            </w:r>
          </w:p>
        </w:tc>
      </w:tr>
      <w:tr>
        <w:trPr>
          <w:trHeight w:val="844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left="254" w:right="118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que existe adequação e proporcionalidade entre o recurso público alocado e os resultados esperados (projetados) pelo seu emprego é possível por meio, de um ou mais, dos critérios abaixo:</w:t>
            </w:r>
          </w:p>
          <w:p>
            <w:pPr>
              <w:pStyle w:val="PargrafodaLista"/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entre despesas e resultados deve ser computada com base em critérios claros e transparentes.</w:t>
            </w:r>
          </w:p>
          <w:p>
            <w:pPr>
              <w:pStyle w:val="PargrafodaLista"/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transferência de recursos deve ser relevante para a satisfação de necessidades ou objetivos públicos específicos.</w:t>
            </w:r>
          </w:p>
          <w:p>
            <w:pPr>
              <w:pStyle w:val="PargrafodaLista"/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As alternativas possíveis devem ser avaliadas para identificar a opção mais apropriada e vantajosa em termos de custo-benefício.</w:t>
            </w:r>
          </w:p>
          <w:p>
            <w:pPr>
              <w:pStyle w:val="PargrafodaLista"/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Os riscos financeiros, operacionais e outros envolvidos no projeto devem ser identificados e avaliados.</w:t>
            </w:r>
          </w:p>
          <w:p>
            <w:pPr>
              <w:pStyle w:val="PargrafodaLista"/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outras formas possíveis de acordo com o caso concreto.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Enfatizamos que há conexão entre a alocação de recursos e os resultados esperados (projetados) e que seu emprego é de extrema relevância para atender às necessidades e interesses públicos específicos do município. Esta prática não apenas fortalece a transparência na gestão, mas também contribui para uma eficiente utilização dos recursos, garantindo que cada investimento público esteja alinhado com os objetivos estratégicos e necessidades reais da comunidade, tais como: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melhorias na renda e qualidade de vida, a criação de oportunidades de permanência na atividade agrícola, impactos ambientais do projeto e como ele pode contribui para a sustentabilidade a longo prazo, .....</w:t>
            </w:r>
          </w:p>
        </w:tc>
      </w:tr>
    </w:tbl>
    <w:p>
      <w:pPr>
        <w:rPr>
          <w:rFonts w:ascii="Verdana" w:hAnsi="Verdana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370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</w:rPr>
              <w:t>14. CAPACIDADE INSTALADA DO MUNICÍPIO</w:t>
            </w:r>
          </w:p>
        </w:tc>
      </w:tr>
      <w:tr>
        <w:trPr>
          <w:trHeight w:val="558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Avaliar a capacidade instalada do Município, demonstrando que é suficiente e compatível, para garantir o cumprimento das obrigações acordadas e executar as atividades de forma eficaz. Por exemplo: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Humanos (há pessoal qualificado e em número suficiente);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Técnicos (há equipamentos, tecnologia e conhecimento técnico).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Físicos (há espaços físicos, instalações e infraestrutura);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Financeiros (há capacidade financeira para arcar com os custos relacionados às atividades do convênio).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>
      <w:pPr>
        <w:rPr>
          <w:rFonts w:ascii="Verdana" w:hAnsi="Verdana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338"/>
      </w:tblGrid>
      <w:tr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15. DOCUMENTOS INTEGRANTES DO PLANO DE TRABALHO</w:t>
            </w:r>
          </w:p>
        </w:tc>
      </w:tr>
      <w:tr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Descrição do Documento</w:t>
            </w:r>
          </w:p>
        </w:tc>
      </w:tr>
      <w:tr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Declaração de Contrapartida (financeira, bens ou serviços) no valor de R$ </w:t>
            </w:r>
            <w:r>
              <w:rPr>
                <w:rFonts w:ascii="Verdana" w:hAnsi="Verdana" w:cs="Arial"/>
                <w:highlight w:val="yellow"/>
              </w:rPr>
              <w:t>22.000,00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5000" w:type="pct"/>
            <w:shd w:val="clear" w:color="auto" w:fill="auto"/>
            <w:vAlign w:val="bottom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b) Orçamentos preliminares que demonstre a compatibilidade com os valores praticados no mercado nos termos do art. 682 do Decreto Estadual 10.086/2022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ind w:left="65" w:right="281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hAnsi="Verdana" w:cs="Arial"/>
                <w:b/>
                <w:lang w:eastAsia="pt-BR"/>
              </w:rPr>
              <w:t>16. DECLARAÇÃO DO RESPONSÁVEL TÉCNICO PELO PLANO APLICAÇÃO FINANCEIRA</w:t>
            </w:r>
          </w:p>
        </w:tc>
      </w:tr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ind w:left="65" w:right="281"/>
              <w:jc w:val="both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eastAsia="Arial" w:hAnsi="Verdana" w:cs="Arial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lastRenderedPageBreak/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eastAsia="pt-BR"/>
              </w:rPr>
              <w:t>CONTADOR(A)</w:t>
            </w: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17. </w:t>
            </w:r>
            <w:r>
              <w:rPr>
                <w:rFonts w:ascii="Verdana" w:hAnsi="Verdana" w:cs="Arial"/>
                <w:b/>
                <w:bCs/>
              </w:rPr>
              <w:t>RESPONSÁVEL TÉCNICO PELA ELABORAÇÃO DO PLANO DE TRABALHO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4352"/>
        <w:gridCol w:w="407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18. APROVAÇÃO DO(A) PREFEITO(A) MUNICIPAL</w:t>
            </w:r>
          </w:p>
        </w:tc>
      </w:tr>
      <w:tr>
        <w:trPr>
          <w:trHeight w:val="17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Prefeito(a) Municipal</w:t>
            </w: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CPF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408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19. CHEFE DE NÚCLEO REGIONAL DA SEAB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28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4263"/>
        <w:gridCol w:w="4024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20. TÉCNICO DO DEPARTAMENTO - SEAB</w:t>
            </w:r>
          </w:p>
        </w:tc>
      </w:tr>
      <w:tr>
        <w:trPr>
          <w:trHeight w:val="301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rPr>
          <w:trHeight w:val="178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4368"/>
        <w:gridCol w:w="4085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21. CHEFIA DO DEPARTAMENTO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Chefe do Departamento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abealhoeRodap"/>
              <w:widowControl w:val="0"/>
              <w:rPr>
                <w:rFonts w:ascii="Verdana" w:hAnsi="Verdana" w:cs="Arial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4402"/>
        <w:gridCol w:w="4119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ind w:left="452" w:hanging="45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22. APROVAÇÃO DO SECRETARIO DE ESTADO DA AGRICULTURA E DO ABASTECIMENTO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NOME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Natalino Avance de Souza</w:t>
            </w:r>
            <w:bookmarkStart w:id="1" w:name="_GoBack"/>
            <w:bookmarkEnd w:id="1"/>
          </w:p>
        </w:tc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Secretário de Estado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Curitiba/PR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  <w:r>
              <w:rPr>
                <w:rStyle w:val="ncoradanotaderodap"/>
                <w:rFonts w:ascii="Verdana" w:hAnsi="Verdana" w:cs="Arial"/>
                <w:b/>
                <w:shd w:val="clear" w:color="auto" w:fill="FFFFFF" w:themeFill="background1"/>
              </w:rPr>
              <w:footnoteReference w:id="2"/>
            </w:r>
          </w:p>
        </w:tc>
      </w:tr>
    </w:tbl>
    <w:p>
      <w:pPr>
        <w:rPr>
          <w:rFonts w:ascii="Verdana" w:hAnsi="Verdana" w:cs="Arial"/>
        </w:rPr>
      </w:pPr>
    </w:p>
    <w:p>
      <w:pPr>
        <w:spacing w:after="120"/>
        <w:rPr>
          <w:rFonts w:ascii="Verdana" w:hAnsi="Verdana" w:cs="Arial"/>
          <w:color w:val="00B050"/>
        </w:rPr>
      </w:pPr>
    </w:p>
    <w:sectPr>
      <w:headerReference w:type="default" r:id="rId10"/>
      <w:footerReference w:type="default" r:id="rId11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488335055"/>
      <w:docPartObj>
        <w:docPartGallery w:val="Page Numbers (Bottom of Page)"/>
        <w:docPartUnique/>
      </w:docPartObj>
    </w:sdtPr>
    <w:sdtContent>
      <w:p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  <w:r>
        <w:rPr>
          <w:rStyle w:val="Caracteresdenotaderodap"/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O valor unitário deverá ter sido obtido por meio de orçamentos preliminares nos termos do art. 682 do Decreto Estadual 10.086/2022</w:t>
      </w:r>
    </w:p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</w:p>
  </w:footnote>
  <w:footnote w:id="2">
    <w:p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63"/>
    <w:multiLevelType w:val="multilevel"/>
    <w:tmpl w:val="C8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2F27"/>
    <w:multiLevelType w:val="hybridMultilevel"/>
    <w:tmpl w:val="7214E9F6"/>
    <w:lvl w:ilvl="0" w:tplc="1F7AD3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22"/>
    <w:multiLevelType w:val="hybridMultilevel"/>
    <w:tmpl w:val="0944CEA4"/>
    <w:lvl w:ilvl="0" w:tplc="1F7AD31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C7A6B8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DA5"/>
    <w:multiLevelType w:val="hybridMultilevel"/>
    <w:tmpl w:val="6220C240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F676EE"/>
    <w:multiLevelType w:val="hybridMultilevel"/>
    <w:tmpl w:val="A9B4F26A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301E"/>
    <w:multiLevelType w:val="multilevel"/>
    <w:tmpl w:val="70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04304"/>
    <w:multiLevelType w:val="hybridMultilevel"/>
    <w:tmpl w:val="4ED49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1B25"/>
    <w:multiLevelType w:val="hybridMultilevel"/>
    <w:tmpl w:val="2624BDAC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55524F9"/>
    <w:multiLevelType w:val="multilevel"/>
    <w:tmpl w:val="2F3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AB1D01"/>
    <w:multiLevelType w:val="hybridMultilevel"/>
    <w:tmpl w:val="B9DCDD72"/>
    <w:lvl w:ilvl="0" w:tplc="1F7AD3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D1E4FCE"/>
    <w:multiLevelType w:val="hybridMultilevel"/>
    <w:tmpl w:val="AA7E4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D9E"/>
    <w:multiLevelType w:val="hybridMultilevel"/>
    <w:tmpl w:val="1DFA4DC6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4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AF237E"/>
    <w:multiLevelType w:val="hybridMultilevel"/>
    <w:tmpl w:val="9CAAA7EE"/>
    <w:lvl w:ilvl="0" w:tplc="54F467F2">
      <w:start w:val="1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986"/>
    <w:multiLevelType w:val="hybridMultilevel"/>
    <w:tmpl w:val="C49AD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640E"/>
    <w:multiLevelType w:val="hybridMultilevel"/>
    <w:tmpl w:val="5E12430E"/>
    <w:lvl w:ilvl="0" w:tplc="1F7AD318">
      <w:start w:val="1"/>
      <w:numFmt w:val="decimal"/>
      <w:lvlText w:val="%1-"/>
      <w:lvlJc w:val="left"/>
      <w:pPr>
        <w:ind w:left="8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9" w15:restartNumberingAfterBreak="0">
    <w:nsid w:val="3CA844C4"/>
    <w:multiLevelType w:val="multilevel"/>
    <w:tmpl w:val="B2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9670A4"/>
    <w:multiLevelType w:val="multilevel"/>
    <w:tmpl w:val="30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B3C06"/>
    <w:multiLevelType w:val="hybridMultilevel"/>
    <w:tmpl w:val="05722D74"/>
    <w:lvl w:ilvl="0" w:tplc="B73877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F7968"/>
    <w:multiLevelType w:val="hybridMultilevel"/>
    <w:tmpl w:val="99CEE908"/>
    <w:lvl w:ilvl="0" w:tplc="1F7AD31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F189E"/>
    <w:multiLevelType w:val="hybridMultilevel"/>
    <w:tmpl w:val="4162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591C"/>
    <w:multiLevelType w:val="multilevel"/>
    <w:tmpl w:val="872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366CA6"/>
    <w:multiLevelType w:val="hybridMultilevel"/>
    <w:tmpl w:val="F14A52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D20D3"/>
    <w:multiLevelType w:val="multilevel"/>
    <w:tmpl w:val="E6F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8"/>
  </w:num>
  <w:num w:numId="5">
    <w:abstractNumId w:val="11"/>
  </w:num>
  <w:num w:numId="6">
    <w:abstractNumId w:val="9"/>
  </w:num>
  <w:num w:numId="7">
    <w:abstractNumId w:val="16"/>
  </w:num>
  <w:num w:numId="8">
    <w:abstractNumId w:val="23"/>
  </w:num>
  <w:num w:numId="9">
    <w:abstractNumId w:val="17"/>
  </w:num>
  <w:num w:numId="10">
    <w:abstractNumId w:val="2"/>
  </w:num>
  <w:num w:numId="11">
    <w:abstractNumId w:val="3"/>
  </w:num>
  <w:num w:numId="12">
    <w:abstractNumId w:val="12"/>
  </w:num>
  <w:num w:numId="13">
    <w:abstractNumId w:val="24"/>
  </w:num>
  <w:num w:numId="14">
    <w:abstractNumId w:val="0"/>
  </w:num>
  <w:num w:numId="15">
    <w:abstractNumId w:val="5"/>
  </w:num>
  <w:num w:numId="16">
    <w:abstractNumId w:val="8"/>
  </w:num>
  <w:num w:numId="17">
    <w:abstractNumId w:val="27"/>
  </w:num>
  <w:num w:numId="18">
    <w:abstractNumId w:val="19"/>
  </w:num>
  <w:num w:numId="19">
    <w:abstractNumId w:val="21"/>
  </w:num>
  <w:num w:numId="20">
    <w:abstractNumId w:val="30"/>
  </w:num>
  <w:num w:numId="21">
    <w:abstractNumId w:val="13"/>
  </w:num>
  <w:num w:numId="22">
    <w:abstractNumId w:val="26"/>
  </w:num>
  <w:num w:numId="23">
    <w:abstractNumId w:val="7"/>
  </w:num>
  <w:num w:numId="24">
    <w:abstractNumId w:val="4"/>
  </w:num>
  <w:num w:numId="25">
    <w:abstractNumId w:val="15"/>
  </w:num>
  <w:num w:numId="26">
    <w:abstractNumId w:val="18"/>
  </w:num>
  <w:num w:numId="27">
    <w:abstractNumId w:val="1"/>
  </w:num>
  <w:num w:numId="28">
    <w:abstractNumId w:val="10"/>
  </w:num>
  <w:num w:numId="29">
    <w:abstractNumId w:val="6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9E64-0C34-4C1E-84CA-FB9EC7F1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2542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Marcio da Silva</cp:lastModifiedBy>
  <cp:revision>22</cp:revision>
  <cp:lastPrinted>2024-01-08T12:59:00Z</cp:lastPrinted>
  <dcterms:created xsi:type="dcterms:W3CDTF">2024-01-12T14:51:00Z</dcterms:created>
  <dcterms:modified xsi:type="dcterms:W3CDTF">2024-07-03T15:00:00Z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